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033FE6" w14:paraId="4B80C35A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0E25642D" w14:textId="77777777" w:rsidR="00033FE6" w:rsidRDefault="00033FE6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Modèle d’entente d’arbitrage</w:t>
            </w:r>
          </w:p>
        </w:tc>
      </w:tr>
    </w:tbl>
    <w:p w14:paraId="25D32598" w14:textId="77777777" w:rsidR="00033FE6" w:rsidRDefault="00033FE6">
      <w:pPr>
        <w:spacing w:before="240"/>
        <w:jc w:val="both"/>
        <w:rPr>
          <w:rFonts w:ascii="Arial" w:hAnsi="Arial" w:cs="Arial"/>
          <w:sz w:val="22"/>
        </w:rPr>
      </w:pPr>
    </w:p>
    <w:p w14:paraId="30560027" w14:textId="77777777" w:rsidR="00033FE6" w:rsidRDefault="00A24C92" w:rsidP="00A24C92">
      <w:pPr>
        <w:spacing w:before="240"/>
        <w:jc w:val="both"/>
        <w:rPr>
          <w:rFonts w:ascii="Arial" w:hAnsi="Arial" w:cs="Arial"/>
        </w:rPr>
      </w:pPr>
      <w:r w:rsidRPr="00A24C92">
        <w:rPr>
          <w:rFonts w:ascii="Arial" w:hAnsi="Arial" w:cs="Arial"/>
        </w:rPr>
        <w:t>Cette</w:t>
      </w:r>
      <w:r w:rsidR="00033FE6" w:rsidRPr="00A24C92">
        <w:rPr>
          <w:rFonts w:ascii="Arial" w:hAnsi="Arial" w:cs="Arial"/>
        </w:rPr>
        <w:t xml:space="preserve"> entente d’arbitrage est </w:t>
      </w:r>
      <w:r>
        <w:rPr>
          <w:rFonts w:ascii="Arial" w:hAnsi="Arial" w:cs="Arial"/>
        </w:rPr>
        <w:t>suggérée</w:t>
      </w:r>
      <w:r w:rsidR="00033FE6" w:rsidRPr="00A24C92">
        <w:rPr>
          <w:rFonts w:ascii="Arial" w:hAnsi="Arial" w:cs="Arial"/>
        </w:rPr>
        <w:t xml:space="preserve"> </w:t>
      </w:r>
      <w:r w:rsidRPr="00A24C92">
        <w:rPr>
          <w:rFonts w:ascii="Arial" w:hAnsi="Arial" w:cs="Arial"/>
        </w:rPr>
        <w:t>l</w:t>
      </w:r>
      <w:r w:rsidR="00033FE6">
        <w:rPr>
          <w:rFonts w:ascii="Arial" w:hAnsi="Arial" w:cs="Arial"/>
        </w:rPr>
        <w:t>orsque les parties veulent outrepasser le processus d’appel in</w:t>
      </w:r>
      <w:r>
        <w:rPr>
          <w:rFonts w:ascii="Arial" w:hAnsi="Arial" w:cs="Arial"/>
        </w:rPr>
        <w:t>terne prévu au sein de leur ONS.</w:t>
      </w:r>
    </w:p>
    <w:p w14:paraId="6E509A07" w14:textId="77777777" w:rsidR="00033FE6" w:rsidRDefault="00033FE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531F1C9" w14:textId="77777777" w:rsidR="00A24C92" w:rsidRDefault="00A24C92">
      <w:pPr>
        <w:rPr>
          <w:lang w:val="fr-FR"/>
        </w:rPr>
        <w:sectPr w:rsidR="00A24C92">
          <w:footerReference w:type="default" r:id="rId7"/>
          <w:pgSz w:w="12242" w:h="15842" w:code="1"/>
          <w:pgMar w:top="1418" w:right="1418" w:bottom="1418" w:left="1418" w:header="851" w:footer="851" w:gutter="0"/>
          <w:cols w:space="708"/>
          <w:docGrid w:linePitch="360"/>
        </w:sectPr>
      </w:pPr>
    </w:p>
    <w:p w14:paraId="08156D96" w14:textId="77777777" w:rsidR="00033FE6" w:rsidRDefault="00033FE6">
      <w:pPr>
        <w:rPr>
          <w:lang w:val="fr-FR"/>
        </w:rPr>
      </w:pPr>
    </w:p>
    <w:p w14:paraId="3919C47F" w14:textId="77777777" w:rsidR="00A24C92" w:rsidRDefault="00A24C92" w:rsidP="00A24C92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  <w:r>
        <w:rPr>
          <w:rFonts w:ascii="Arial" w:hAnsi="Arial" w:cs="Arial"/>
          <w:i/>
          <w:iCs/>
          <w:sz w:val="22"/>
          <w:lang w:val="fr-FR"/>
        </w:rPr>
        <w:t>Numéro de dossier CRDSC : __________________</w:t>
      </w:r>
    </w:p>
    <w:p w14:paraId="2C940E09" w14:textId="77777777" w:rsidR="00A24C92" w:rsidRDefault="00A24C92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  <w:sectPr w:rsidR="00A24C92" w:rsidSect="00A24C92">
          <w:type w:val="continuous"/>
          <w:pgSz w:w="12242" w:h="15842" w:code="1"/>
          <w:pgMar w:top="1418" w:right="1418" w:bottom="1418" w:left="1418" w:header="851" w:footer="851" w:gutter="0"/>
          <w:cols w:space="708"/>
          <w:formProt w:val="0"/>
          <w:docGrid w:linePitch="360"/>
        </w:sectPr>
      </w:pPr>
    </w:p>
    <w:p w14:paraId="46EB3733" w14:textId="77777777" w:rsidR="00A24C92" w:rsidRDefault="00A24C92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</w:p>
    <w:p w14:paraId="48B187C1" w14:textId="77777777" w:rsidR="00033FE6" w:rsidRDefault="00033FE6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  <w:r>
        <w:rPr>
          <w:rFonts w:ascii="Arial" w:hAnsi="Arial" w:cs="Arial"/>
          <w:i/>
          <w:iCs/>
          <w:sz w:val="22"/>
          <w:lang w:val="fr-FR"/>
        </w:rPr>
        <w:t>“Un différend ayant été soulevé</w:t>
      </w:r>
      <w:r w:rsidR="00A24C92">
        <w:rPr>
          <w:rFonts w:ascii="Arial" w:hAnsi="Arial" w:cs="Arial"/>
          <w:i/>
          <w:iCs/>
          <w:sz w:val="22"/>
          <w:lang w:val="fr-FR"/>
        </w:rPr>
        <w:t xml:space="preserve">, </w:t>
      </w:r>
      <w:r>
        <w:rPr>
          <w:rFonts w:ascii="Arial" w:hAnsi="Arial" w:cs="Arial"/>
          <w:i/>
          <w:iCs/>
          <w:sz w:val="22"/>
          <w:lang w:val="fr-FR"/>
        </w:rPr>
        <w:t xml:space="preserve">les </w:t>
      </w:r>
      <w:r w:rsidR="00A24C92">
        <w:rPr>
          <w:rFonts w:ascii="Arial" w:hAnsi="Arial" w:cs="Arial"/>
          <w:i/>
          <w:iCs/>
          <w:sz w:val="22"/>
          <w:lang w:val="fr-FR"/>
        </w:rPr>
        <w:t>parties soussignée</w:t>
      </w:r>
      <w:r>
        <w:rPr>
          <w:rFonts w:ascii="Arial" w:hAnsi="Arial" w:cs="Arial"/>
          <w:i/>
          <w:iCs/>
          <w:sz w:val="22"/>
          <w:lang w:val="fr-FR"/>
        </w:rPr>
        <w:t>s conviennent par les présentes de référer ce différend au processus d’arbitrage final et sans appel du</w:t>
      </w:r>
      <w:r w:rsidR="00FB7E90">
        <w:rPr>
          <w:rFonts w:ascii="Arial" w:hAnsi="Arial" w:cs="Arial"/>
          <w:i/>
          <w:iCs/>
          <w:sz w:val="22"/>
          <w:lang w:val="fr-FR"/>
        </w:rPr>
        <w:t xml:space="preserve"> </w:t>
      </w:r>
      <w:r w:rsidR="00D35244">
        <w:rPr>
          <w:rFonts w:ascii="Arial" w:hAnsi="Arial" w:cs="Arial"/>
          <w:i/>
          <w:iCs/>
          <w:sz w:val="22"/>
          <w:lang w:val="fr-FR"/>
        </w:rPr>
        <w:t>secrétariat de règlement des différends du</w:t>
      </w:r>
      <w:r>
        <w:rPr>
          <w:rFonts w:ascii="Arial" w:hAnsi="Arial" w:cs="Arial"/>
          <w:i/>
          <w:iCs/>
          <w:sz w:val="22"/>
          <w:lang w:val="fr-FR"/>
        </w:rPr>
        <w:t xml:space="preserve"> </w:t>
      </w:r>
      <w:r w:rsidR="009C2AC5">
        <w:rPr>
          <w:rFonts w:ascii="Arial" w:hAnsi="Arial" w:cs="Arial"/>
          <w:i/>
          <w:iCs/>
          <w:sz w:val="22"/>
          <w:lang w:val="fr-FR"/>
        </w:rPr>
        <w:t>Centre de Règlement des</w:t>
      </w:r>
      <w:r w:rsidR="00D35244">
        <w:rPr>
          <w:rFonts w:ascii="Arial" w:hAnsi="Arial" w:cs="Arial"/>
          <w:i/>
          <w:iCs/>
          <w:sz w:val="22"/>
          <w:lang w:val="fr-FR"/>
        </w:rPr>
        <w:t xml:space="preserve"> Différends Sportifs du Canada</w:t>
      </w:r>
      <w:r>
        <w:rPr>
          <w:rFonts w:ascii="Arial" w:hAnsi="Arial" w:cs="Arial"/>
          <w:i/>
          <w:iCs/>
          <w:sz w:val="22"/>
          <w:lang w:val="fr-FR"/>
        </w:rPr>
        <w:t xml:space="preserve"> et conformément à son code de procédure (le Code </w:t>
      </w:r>
      <w:r w:rsidR="00FB7E90">
        <w:rPr>
          <w:rFonts w:ascii="Arial" w:hAnsi="Arial" w:cs="Arial"/>
          <w:i/>
          <w:iCs/>
          <w:sz w:val="22"/>
          <w:lang w:val="fr-FR"/>
        </w:rPr>
        <w:t>canadien de règlement des différends sportifs</w:t>
      </w:r>
      <w:r>
        <w:rPr>
          <w:rFonts w:ascii="Arial" w:hAnsi="Arial" w:cs="Arial"/>
          <w:i/>
          <w:iCs/>
          <w:sz w:val="22"/>
          <w:lang w:val="fr-FR"/>
        </w:rPr>
        <w:t xml:space="preserve">, tel qu’amendé de temps à autre), </w:t>
      </w:r>
      <w:r w:rsidRPr="006A4DE0">
        <w:rPr>
          <w:rFonts w:ascii="Arial" w:hAnsi="Arial" w:cs="Arial"/>
          <w:b/>
          <w:i/>
          <w:iCs/>
          <w:sz w:val="22"/>
          <w:lang w:val="fr-FR"/>
        </w:rPr>
        <w:t>renonçant ainsi à utiliser le processus d’appel interne habituellement applicable</w:t>
      </w:r>
      <w:r>
        <w:rPr>
          <w:rFonts w:ascii="Arial" w:hAnsi="Arial" w:cs="Arial"/>
          <w:i/>
          <w:iCs/>
          <w:sz w:val="22"/>
          <w:lang w:val="fr-FR"/>
        </w:rPr>
        <w:t>.”</w:t>
      </w:r>
    </w:p>
    <w:p w14:paraId="5DB1C3FD" w14:textId="77777777" w:rsidR="00A24C92" w:rsidRDefault="00A24C92">
      <w:pPr>
        <w:spacing w:before="120"/>
        <w:jc w:val="both"/>
        <w:rPr>
          <w:rFonts w:ascii="Arial" w:hAnsi="Arial" w:cs="Arial"/>
          <w:lang w:val="fr-FR"/>
        </w:rPr>
        <w:sectPr w:rsidR="00A24C92" w:rsidSect="00A24C92">
          <w:type w:val="continuous"/>
          <w:pgSz w:w="12242" w:h="15842" w:code="1"/>
          <w:pgMar w:top="1418" w:right="1418" w:bottom="1418" w:left="1418" w:header="851" w:footer="851" w:gutter="0"/>
          <w:cols w:space="708"/>
          <w:docGrid w:linePitch="360"/>
        </w:sectPr>
      </w:pPr>
    </w:p>
    <w:p w14:paraId="07B8A8B1" w14:textId="77777777" w:rsidR="00033FE6" w:rsidRDefault="00033FE6">
      <w:pPr>
        <w:spacing w:before="120"/>
        <w:jc w:val="both"/>
        <w:rPr>
          <w:rFonts w:ascii="Arial" w:hAnsi="Arial" w:cs="Arial"/>
          <w:lang w:val="fr-FR"/>
        </w:rPr>
      </w:pPr>
    </w:p>
    <w:p w14:paraId="522C315E" w14:textId="77777777" w:rsidR="00A24C92" w:rsidRDefault="00A24C92">
      <w:pPr>
        <w:spacing w:before="120"/>
        <w:jc w:val="both"/>
        <w:rPr>
          <w:rFonts w:ascii="Arial" w:hAnsi="Arial" w:cs="Arial"/>
          <w:lang w:val="fr-FR"/>
        </w:rPr>
      </w:pPr>
    </w:p>
    <w:p w14:paraId="046EBD4B" w14:textId="77777777" w:rsidR="00A24C92" w:rsidRPr="00A24C92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7608711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</w:rPr>
      </w:pPr>
      <w:r w:rsidRPr="00BD4A8D">
        <w:rPr>
          <w:rFonts w:ascii="Arial" w:hAnsi="Arial" w:cs="Arial"/>
          <w:sz w:val="22"/>
        </w:rPr>
        <w:t xml:space="preserve">Signé par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représentant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</w:p>
    <w:p w14:paraId="3D2A6015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 xml:space="preserve">       (</w:t>
      </w:r>
      <w:proofErr w:type="gramStart"/>
      <w:r w:rsidRPr="00BD4A8D">
        <w:rPr>
          <w:rFonts w:ascii="Arial" w:hAnsi="Arial" w:cs="Arial"/>
          <w:sz w:val="20"/>
        </w:rPr>
        <w:t>nom</w:t>
      </w:r>
      <w:proofErr w:type="gramEnd"/>
      <w:r w:rsidRPr="00BD4A8D">
        <w:rPr>
          <w:rFonts w:ascii="Arial" w:hAnsi="Arial" w:cs="Arial"/>
          <w:sz w:val="20"/>
        </w:rPr>
        <w:t xml:space="preserve"> en lettres moulées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identification de la partie</w:t>
      </w:r>
      <w:r w:rsidRPr="00BD4A8D">
        <w:rPr>
          <w:rFonts w:ascii="Arial" w:hAnsi="Arial" w:cs="Arial"/>
          <w:sz w:val="20"/>
        </w:rPr>
        <w:t>)</w:t>
      </w:r>
    </w:p>
    <w:p w14:paraId="1DB4D55B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 w:rsidRPr="00BD4A8D">
        <w:rPr>
          <w:rFonts w:ascii="Arial" w:hAnsi="Arial" w:cs="Arial"/>
          <w:sz w:val="22"/>
        </w:rPr>
        <w:t xml:space="preserve">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à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  <w:t>.</w:t>
      </w:r>
    </w:p>
    <w:p w14:paraId="3D69C1BA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>(</w:t>
      </w:r>
      <w:proofErr w:type="gramStart"/>
      <w:r w:rsidRPr="00BD4A8D">
        <w:rPr>
          <w:rFonts w:ascii="Arial" w:hAnsi="Arial" w:cs="Arial"/>
          <w:sz w:val="20"/>
        </w:rPr>
        <w:t>date</w:t>
      </w:r>
      <w:proofErr w:type="gramEnd"/>
      <w:r w:rsidRPr="00BD4A8D">
        <w:rPr>
          <w:rFonts w:ascii="Arial" w:hAnsi="Arial" w:cs="Arial"/>
          <w:sz w:val="20"/>
        </w:rPr>
        <w:t>)</w:t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>ville</w:t>
      </w:r>
      <w:r w:rsidRPr="00BD4A8D">
        <w:rPr>
          <w:rFonts w:ascii="Arial" w:hAnsi="Arial" w:cs="Arial"/>
          <w:sz w:val="20"/>
        </w:rPr>
        <w:t>, province)</w:t>
      </w:r>
    </w:p>
    <w:p w14:paraId="1D39C2DB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</w:rPr>
      </w:pPr>
    </w:p>
    <w:p w14:paraId="4BF50D92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</w:rPr>
      </w:pP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</w:p>
    <w:p w14:paraId="131674DB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>Signature</w:t>
      </w:r>
    </w:p>
    <w:p w14:paraId="5F8DAEBA" w14:textId="77777777" w:rsidR="00A24C92" w:rsidRPr="00A24C92" w:rsidRDefault="00A24C92" w:rsidP="00A24C92">
      <w:pPr>
        <w:spacing w:before="240"/>
        <w:jc w:val="both"/>
        <w:rPr>
          <w:rFonts w:ascii="Arial" w:hAnsi="Arial" w:cs="Arial"/>
          <w:i/>
          <w:iCs/>
          <w:sz w:val="22"/>
        </w:rPr>
      </w:pPr>
    </w:p>
    <w:p w14:paraId="5975061D" w14:textId="77777777" w:rsidR="00A24C92" w:rsidRPr="00A24C92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97859A1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</w:rPr>
      </w:pPr>
      <w:r w:rsidRPr="00BD4A8D">
        <w:rPr>
          <w:rFonts w:ascii="Arial" w:hAnsi="Arial" w:cs="Arial"/>
          <w:sz w:val="22"/>
        </w:rPr>
        <w:t xml:space="preserve">Signé par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représentant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</w:p>
    <w:p w14:paraId="19136030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 xml:space="preserve">       (</w:t>
      </w:r>
      <w:proofErr w:type="gramStart"/>
      <w:r w:rsidRPr="00BD4A8D">
        <w:rPr>
          <w:rFonts w:ascii="Arial" w:hAnsi="Arial" w:cs="Arial"/>
          <w:sz w:val="20"/>
        </w:rPr>
        <w:t>nom</w:t>
      </w:r>
      <w:proofErr w:type="gramEnd"/>
      <w:r w:rsidRPr="00BD4A8D">
        <w:rPr>
          <w:rFonts w:ascii="Arial" w:hAnsi="Arial" w:cs="Arial"/>
          <w:sz w:val="20"/>
        </w:rPr>
        <w:t xml:space="preserve"> en lettres moulées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identification de la partie</w:t>
      </w:r>
      <w:r w:rsidRPr="00BD4A8D">
        <w:rPr>
          <w:rFonts w:ascii="Arial" w:hAnsi="Arial" w:cs="Arial"/>
          <w:sz w:val="20"/>
        </w:rPr>
        <w:t>)</w:t>
      </w:r>
    </w:p>
    <w:p w14:paraId="175DDE18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 w:rsidRPr="00BD4A8D">
        <w:rPr>
          <w:rFonts w:ascii="Arial" w:hAnsi="Arial" w:cs="Arial"/>
          <w:sz w:val="22"/>
        </w:rPr>
        <w:t xml:space="preserve">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à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  <w:t>.</w:t>
      </w:r>
    </w:p>
    <w:p w14:paraId="071DEB3B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>(</w:t>
      </w:r>
      <w:proofErr w:type="gramStart"/>
      <w:r w:rsidRPr="00BD4A8D">
        <w:rPr>
          <w:rFonts w:ascii="Arial" w:hAnsi="Arial" w:cs="Arial"/>
          <w:sz w:val="20"/>
        </w:rPr>
        <w:t>date</w:t>
      </w:r>
      <w:proofErr w:type="gramEnd"/>
      <w:r w:rsidRPr="00BD4A8D">
        <w:rPr>
          <w:rFonts w:ascii="Arial" w:hAnsi="Arial" w:cs="Arial"/>
          <w:sz w:val="20"/>
        </w:rPr>
        <w:t>)</w:t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>ville</w:t>
      </w:r>
      <w:r w:rsidRPr="00BD4A8D">
        <w:rPr>
          <w:rFonts w:ascii="Arial" w:hAnsi="Arial" w:cs="Arial"/>
          <w:sz w:val="20"/>
        </w:rPr>
        <w:t>, province)</w:t>
      </w:r>
    </w:p>
    <w:p w14:paraId="21D5E5DE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</w:rPr>
      </w:pPr>
    </w:p>
    <w:p w14:paraId="25E0284D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</w:rPr>
      </w:pP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</w:p>
    <w:p w14:paraId="2376E3B9" w14:textId="77777777" w:rsidR="00A24C92" w:rsidRPr="00BD4A8D" w:rsidRDefault="00A24C92" w:rsidP="00A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>Signature</w:t>
      </w:r>
    </w:p>
    <w:p w14:paraId="230AEA34" w14:textId="77777777" w:rsidR="00A24C92" w:rsidRDefault="00A24C92">
      <w:pPr>
        <w:spacing w:before="120"/>
        <w:jc w:val="both"/>
        <w:rPr>
          <w:rFonts w:ascii="Arial" w:hAnsi="Arial" w:cs="Arial"/>
          <w:lang w:val="fr-FR"/>
        </w:rPr>
      </w:pPr>
    </w:p>
    <w:sectPr w:rsidR="00A24C92" w:rsidSect="00A24C92">
      <w:type w:val="continuous"/>
      <w:pgSz w:w="12242" w:h="15842" w:code="1"/>
      <w:pgMar w:top="1418" w:right="1418" w:bottom="1418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6C267" w14:textId="77777777" w:rsidR="003348E0" w:rsidRDefault="003348E0">
      <w:r>
        <w:separator/>
      </w:r>
    </w:p>
  </w:endnote>
  <w:endnote w:type="continuationSeparator" w:id="0">
    <w:p w14:paraId="0DF72717" w14:textId="77777777" w:rsidR="003348E0" w:rsidRDefault="0033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6FD90" w14:textId="77777777" w:rsidR="00372070" w:rsidRDefault="00372070">
    <w:pPr>
      <w:pStyle w:val="Pieddepage"/>
      <w:rPr>
        <w:rFonts w:ascii="Arial" w:hAnsi="Arial" w:cs="Arial"/>
        <w:noProof/>
        <w:sz w:val="16"/>
        <w:lang w:val="fr-FR"/>
      </w:rPr>
    </w:pPr>
    <w:r>
      <w:rPr>
        <w:rFonts w:ascii="Arial" w:hAnsi="Arial" w:cs="Arial"/>
        <w:noProof/>
        <w:sz w:val="16"/>
        <w:lang w:val="fr-FR"/>
      </w:rPr>
      <w:t>Modèle d’entente d’arbitrage avec renonciation</w:t>
    </w:r>
  </w:p>
  <w:p w14:paraId="310A6251" w14:textId="77777777" w:rsidR="00372070" w:rsidRDefault="00372070">
    <w:pPr>
      <w:pStyle w:val="Pieddepage"/>
      <w:rPr>
        <w:rFonts w:ascii="Arial" w:hAnsi="Arial" w:cs="Arial"/>
        <w:sz w:val="16"/>
        <w:lang w:val="fr-FR"/>
      </w:rPr>
    </w:pPr>
    <w:r>
      <w:rPr>
        <w:rFonts w:ascii="Arial" w:hAnsi="Arial" w:cs="Arial"/>
        <w:noProof/>
        <w:sz w:val="16"/>
        <w:lang w:val="fr-FR"/>
      </w:rPr>
      <w:t>Décembre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3939D" w14:textId="77777777" w:rsidR="003348E0" w:rsidRDefault="003348E0">
      <w:r>
        <w:separator/>
      </w:r>
    </w:p>
  </w:footnote>
  <w:footnote w:type="continuationSeparator" w:id="0">
    <w:p w14:paraId="72892A41" w14:textId="77777777" w:rsidR="003348E0" w:rsidRDefault="0033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92C89"/>
    <w:multiLevelType w:val="hybridMultilevel"/>
    <w:tmpl w:val="C28E6AC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65FCD"/>
    <w:multiLevelType w:val="hybridMultilevel"/>
    <w:tmpl w:val="C28E6AC4"/>
    <w:lvl w:ilvl="0" w:tplc="239CA2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OhC5lT37K1uPTkpSu63JscakCCjk9VXLeeAPKPq7BAjcNEPpgWI1aHxYBrf+MwI2U9zmdRIyV0/Wqwcfl+A2A==" w:salt="txBMsB8wrLlWWlGjWU3hw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C5"/>
    <w:rsid w:val="00033FE6"/>
    <w:rsid w:val="000A0801"/>
    <w:rsid w:val="001632E6"/>
    <w:rsid w:val="001A00E3"/>
    <w:rsid w:val="003348E0"/>
    <w:rsid w:val="00372070"/>
    <w:rsid w:val="0045690C"/>
    <w:rsid w:val="004B2A19"/>
    <w:rsid w:val="006205E9"/>
    <w:rsid w:val="006A4DE0"/>
    <w:rsid w:val="009529BD"/>
    <w:rsid w:val="00994147"/>
    <w:rsid w:val="009C2AC5"/>
    <w:rsid w:val="00A24C92"/>
    <w:rsid w:val="00AB1EA5"/>
    <w:rsid w:val="00AE327C"/>
    <w:rsid w:val="00BB22FF"/>
    <w:rsid w:val="00BB6D35"/>
    <w:rsid w:val="00D35244"/>
    <w:rsid w:val="00D57BA6"/>
    <w:rsid w:val="00D62E8A"/>
    <w:rsid w:val="00DF4486"/>
    <w:rsid w:val="00F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D94055"/>
  <w15:chartTrackingRefBased/>
  <w15:docId w15:val="{565384AA-62A2-4B9A-B8FE-AEC67B4A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spacing w:before="240"/>
      <w:jc w:val="both"/>
      <w:outlineLvl w:val="2"/>
    </w:pPr>
    <w:rPr>
      <w:rFonts w:ascii="Arial" w:hAnsi="Arial" w:cs="Arial"/>
      <w:b/>
      <w:bCs/>
      <w:sz w:val="22"/>
      <w:lang w:val="fr-FR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2"/>
      <w:u w:val="single"/>
      <w:lang w:val="fr-FR"/>
    </w:rPr>
  </w:style>
  <w:style w:type="paragraph" w:styleId="Titre5">
    <w:name w:val="heading 5"/>
    <w:basedOn w:val="Normal"/>
    <w:next w:val="Normal"/>
    <w:qFormat/>
    <w:pPr>
      <w:keepNext/>
      <w:spacing w:before="240"/>
      <w:outlineLvl w:val="4"/>
    </w:pPr>
    <w:rPr>
      <w:rFonts w:ascii="Arial" w:hAnsi="Arial" w:cs="Arial"/>
      <w:b/>
      <w:bCs/>
      <w:sz w:val="22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lang w:val="en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ENTENTE AD HOC D’ARBITRAGE</vt:lpstr>
    </vt:vector>
  </TitlesOfParts>
  <Company>Académie Ménard Girardin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AD HOC D’ARBITRAGE</dc:title>
  <dc:subject/>
  <dc:creator>Académie Ménard Girardin</dc:creator>
  <cp:keywords/>
  <dc:description/>
  <cp:lastModifiedBy>Vincent Robichaud</cp:lastModifiedBy>
  <cp:revision>2</cp:revision>
  <cp:lastPrinted>2003-07-03T14:47:00Z</cp:lastPrinted>
  <dcterms:created xsi:type="dcterms:W3CDTF">2021-02-19T16:46:00Z</dcterms:created>
  <dcterms:modified xsi:type="dcterms:W3CDTF">2021-02-19T16:46:00Z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-1296731576</vt:i4>
  </property>
  <property fmtid="{D5CDD505-2E9C-101B-9397-08002B2CF9AE}" pid="3" name="_EmailSubject">
    <vt:lpwstr>Online forms</vt:lpwstr>
  </property>
  <property fmtid="{D5CDD505-2E9C-101B-9397-08002B2CF9AE}" pid="4" name="_AuthorEmail">
    <vt:lpwstr>jcottin@adrsportred.ca</vt:lpwstr>
  </property>
  <property fmtid="{D5CDD505-2E9C-101B-9397-08002B2CF9AE}" pid="5" name="_AuthorEmailDisplayName">
    <vt:lpwstr>Jennifer Cottin</vt:lpwstr>
  </property>
  <property fmtid="{D5CDD505-2E9C-101B-9397-08002B2CF9AE}" pid="6" name="_ReviewingToolsShownOnce">
    <vt:lpwstr/>
  </property>
</Properties>
</file>