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6F2220" w14:paraId="42E0ACB0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3FDE0132" w14:textId="77777777" w:rsidR="006F2220" w:rsidRDefault="006F2220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Modèle de clause contractuelle arbitrale</w:t>
            </w:r>
          </w:p>
        </w:tc>
      </w:tr>
    </w:tbl>
    <w:p w14:paraId="404DA764" w14:textId="77777777" w:rsidR="006F2220" w:rsidRDefault="006F2220">
      <w:pPr>
        <w:pStyle w:val="Sous-titre"/>
        <w:spacing w:before="240"/>
        <w:rPr>
          <w:sz w:val="22"/>
        </w:rPr>
      </w:pPr>
    </w:p>
    <w:p w14:paraId="7E1B7DCB" w14:textId="77777777" w:rsidR="006F2220" w:rsidRDefault="006F2220">
      <w:pPr>
        <w:spacing w:before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Modèle de clause arbitrale à insérer à tout contrat :</w:t>
      </w:r>
    </w:p>
    <w:p w14:paraId="7FB5C61C" w14:textId="77777777" w:rsidR="006F2220" w:rsidRDefault="006F2220">
      <w:pPr>
        <w:spacing w:before="240"/>
        <w:jc w:val="both"/>
        <w:rPr>
          <w:rFonts w:ascii="Arial" w:hAnsi="Arial" w:cs="Arial"/>
          <w:b/>
          <w:bCs/>
          <w:sz w:val="22"/>
        </w:rPr>
      </w:pPr>
    </w:p>
    <w:p w14:paraId="7B7E19A1" w14:textId="77777777" w:rsidR="006F2220" w:rsidRDefault="006F222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« Tout litige découlant ou en rapport avec le présent contrat sera exclusivement soumis au [</w:t>
      </w:r>
      <w:r>
        <w:rPr>
          <w:rFonts w:ascii="Arial" w:hAnsi="Arial" w:cs="Arial"/>
          <w:i/>
          <w:iCs/>
        </w:rPr>
        <w:t>nom de l’organisme ou de(s) l’arbitre(s) auquel / devant le(s)quel(s) sera soumis l’arbitrage, par exemple</w:t>
      </w:r>
      <w:r>
        <w:rPr>
          <w:rFonts w:ascii="Arial" w:hAnsi="Arial" w:cs="Arial"/>
        </w:rPr>
        <w:t xml:space="preserve"> : </w:t>
      </w:r>
      <w:r w:rsidR="000A124E" w:rsidRPr="000A124E">
        <w:rPr>
          <w:rFonts w:ascii="Arial" w:hAnsi="Arial" w:cs="Arial"/>
          <w:u w:val="single"/>
        </w:rPr>
        <w:t xml:space="preserve">le secrétariat de règlement des différends du Centre de Règlement des Différends Sportifs du </w:t>
      </w:r>
      <w:r w:rsidR="000A124E">
        <w:rPr>
          <w:rFonts w:ascii="Arial" w:hAnsi="Arial" w:cs="Arial"/>
          <w:u w:val="single"/>
        </w:rPr>
        <w:t>C</w:t>
      </w:r>
      <w:r w:rsidR="000A124E" w:rsidRPr="000A124E">
        <w:rPr>
          <w:rFonts w:ascii="Arial" w:hAnsi="Arial" w:cs="Arial"/>
          <w:u w:val="single"/>
        </w:rPr>
        <w:t>anada</w:t>
      </w:r>
      <w:r w:rsidR="000A124E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ou à son successeur</w:t>
      </w:r>
      <w:r>
        <w:rPr>
          <w:rFonts w:ascii="Arial" w:hAnsi="Arial" w:cs="Arial"/>
        </w:rPr>
        <w:t>] et définitivement tranché suivant la procédure établie au [</w:t>
      </w:r>
      <w:r>
        <w:rPr>
          <w:rFonts w:ascii="Arial" w:hAnsi="Arial" w:cs="Arial"/>
          <w:i/>
          <w:iCs/>
        </w:rPr>
        <w:t>règles ou loi applicables à l’arbitrage, par exemple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u w:val="single"/>
        </w:rPr>
        <w:t xml:space="preserve">Code </w:t>
      </w:r>
      <w:r w:rsidR="00E2434C">
        <w:rPr>
          <w:rFonts w:ascii="Arial" w:hAnsi="Arial" w:cs="Arial"/>
          <w:u w:val="single"/>
        </w:rPr>
        <w:t>canadien de règlement des différends sportifs</w:t>
      </w:r>
      <w:r>
        <w:rPr>
          <w:rFonts w:ascii="Arial" w:hAnsi="Arial" w:cs="Arial"/>
          <w:u w:val="single"/>
        </w:rPr>
        <w:t>, tel qu’amendé de temps à autre</w:t>
      </w:r>
      <w:r>
        <w:rPr>
          <w:rFonts w:ascii="Arial" w:hAnsi="Arial" w:cs="Arial"/>
        </w:rPr>
        <w:t>]. »</w:t>
      </w:r>
    </w:p>
    <w:p w14:paraId="2FAA2043" w14:textId="77777777" w:rsidR="006F2220" w:rsidRDefault="006F2220">
      <w:pPr>
        <w:spacing w:before="240"/>
        <w:jc w:val="both"/>
        <w:rPr>
          <w:rFonts w:ascii="Arial" w:hAnsi="Arial" w:cs="Arial"/>
          <w:sz w:val="22"/>
        </w:rPr>
      </w:pPr>
    </w:p>
    <w:p w14:paraId="2CA47E09" w14:textId="77777777" w:rsidR="006F2220" w:rsidRDefault="006F2220">
      <w:pPr>
        <w:spacing w:before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Précisions facultatives :</w:t>
      </w:r>
    </w:p>
    <w:p w14:paraId="3D83F4FD" w14:textId="77777777" w:rsidR="006F2220" w:rsidRDefault="006F2220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nombre d’arbitres sur le Comité d’appel (</w:t>
      </w:r>
      <w:r>
        <w:rPr>
          <w:rFonts w:ascii="Arial" w:hAnsi="Arial" w:cs="Arial"/>
          <w:i/>
          <w:iCs/>
          <w:sz w:val="22"/>
        </w:rPr>
        <w:t>habituellement 1 ou 3</w:t>
      </w:r>
      <w:r>
        <w:rPr>
          <w:rFonts w:ascii="Arial" w:hAnsi="Arial" w:cs="Arial"/>
          <w:sz w:val="22"/>
        </w:rPr>
        <w:t>) :</w:t>
      </w:r>
    </w:p>
    <w:p w14:paraId="0A5A5FF6" w14:textId="77777777" w:rsidR="006F2220" w:rsidRDefault="006F2220">
      <w:pPr>
        <w:spacing w:before="120"/>
        <w:ind w:left="372" w:firstLine="33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Le Comité d’appel sera composé de [</w:t>
      </w:r>
      <w:r>
        <w:rPr>
          <w:rFonts w:ascii="Arial" w:hAnsi="Arial" w:cs="Arial"/>
          <w:i/>
          <w:iCs/>
          <w:sz w:val="22"/>
        </w:rPr>
        <w:t>1 ou 3</w:t>
      </w:r>
      <w:r>
        <w:rPr>
          <w:rFonts w:ascii="Arial" w:hAnsi="Arial" w:cs="Arial"/>
          <w:sz w:val="22"/>
        </w:rPr>
        <w:t>] arbitre(s). »</w:t>
      </w:r>
    </w:p>
    <w:p w14:paraId="48200FDF" w14:textId="77777777" w:rsidR="006F2220" w:rsidRDefault="006F2220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langue de l’arbitrage :</w:t>
      </w:r>
    </w:p>
    <w:p w14:paraId="110DBE00" w14:textId="77777777" w:rsidR="006F2220" w:rsidRDefault="006F2220">
      <w:pPr>
        <w:spacing w:before="120"/>
        <w:ind w:left="372" w:firstLine="33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L’arbitrage aura lieu en [</w:t>
      </w:r>
      <w:r>
        <w:rPr>
          <w:rFonts w:ascii="Arial" w:hAnsi="Arial" w:cs="Arial"/>
          <w:i/>
          <w:iCs/>
          <w:sz w:val="22"/>
        </w:rPr>
        <w:t>anglais, français, espagnol, autre</w:t>
      </w:r>
      <w:r>
        <w:rPr>
          <w:rFonts w:ascii="Arial" w:hAnsi="Arial" w:cs="Arial"/>
          <w:sz w:val="22"/>
        </w:rPr>
        <w:t>]. »</w:t>
      </w:r>
    </w:p>
    <w:p w14:paraId="573EAD43" w14:textId="77777777" w:rsidR="006F2220" w:rsidRDefault="006F2220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lieu de l’arbitrage :</w:t>
      </w:r>
    </w:p>
    <w:p w14:paraId="1A89C413" w14:textId="77777777" w:rsidR="006F2220" w:rsidRDefault="006F2220">
      <w:pPr>
        <w:spacing w:before="120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L’arbitrage aura lieu à [</w:t>
      </w:r>
      <w:r>
        <w:rPr>
          <w:rFonts w:ascii="Arial" w:hAnsi="Arial" w:cs="Arial"/>
          <w:i/>
          <w:iCs/>
          <w:sz w:val="22"/>
        </w:rPr>
        <w:t>ville, pays ou tout lieu déterminé par les parties contractantes</w:t>
      </w:r>
      <w:r>
        <w:rPr>
          <w:rFonts w:ascii="Arial" w:hAnsi="Arial" w:cs="Arial"/>
          <w:sz w:val="22"/>
        </w:rPr>
        <w:t>]. »</w:t>
      </w:r>
    </w:p>
    <w:sectPr w:rsidR="006F2220">
      <w:footerReference w:type="default" r:id="rId7"/>
      <w:pgSz w:w="12242" w:h="15842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553CC" w14:textId="77777777" w:rsidR="003047A3" w:rsidRDefault="003047A3">
      <w:r>
        <w:separator/>
      </w:r>
    </w:p>
  </w:endnote>
  <w:endnote w:type="continuationSeparator" w:id="0">
    <w:p w14:paraId="3B94E9F1" w14:textId="77777777" w:rsidR="003047A3" w:rsidRDefault="0030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FF4" w14:textId="77777777" w:rsidR="00E2434C" w:rsidRDefault="00E2434C">
    <w:pPr>
      <w:pStyle w:val="Pieddepage"/>
      <w:tabs>
        <w:tab w:val="clear" w:pos="8640"/>
        <w:tab w:val="right" w:pos="9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Formulaire Exemple de clause arbitrale</w:t>
    </w:r>
  </w:p>
  <w:p w14:paraId="497B6937" w14:textId="77777777" w:rsidR="00E2434C" w:rsidRDefault="00E2434C">
    <w:pPr>
      <w:pStyle w:val="Pieddepage"/>
      <w:tabs>
        <w:tab w:val="clear" w:pos="8640"/>
        <w:tab w:val="right" w:pos="9480"/>
      </w:tabs>
    </w:pPr>
    <w:r>
      <w:rPr>
        <w:rFonts w:ascii="Arial" w:hAnsi="Arial" w:cs="Arial"/>
        <w:sz w:val="16"/>
      </w:rPr>
      <w:t>Avril 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2096E" w14:textId="77777777" w:rsidR="003047A3" w:rsidRDefault="003047A3">
      <w:r>
        <w:separator/>
      </w:r>
    </w:p>
  </w:footnote>
  <w:footnote w:type="continuationSeparator" w:id="0">
    <w:p w14:paraId="22787708" w14:textId="77777777" w:rsidR="003047A3" w:rsidRDefault="0030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CFF"/>
    <w:multiLevelType w:val="hybridMultilevel"/>
    <w:tmpl w:val="3C4A2E74"/>
    <w:lvl w:ilvl="0" w:tplc="239CA290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5052"/>
    <w:multiLevelType w:val="hybridMultilevel"/>
    <w:tmpl w:val="1C58AF36"/>
    <w:lvl w:ilvl="0" w:tplc="00A8AED8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73883"/>
    <w:multiLevelType w:val="hybridMultilevel"/>
    <w:tmpl w:val="1C58AF36"/>
    <w:lvl w:ilvl="0" w:tplc="86DE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34D70"/>
    <w:multiLevelType w:val="hybridMultilevel"/>
    <w:tmpl w:val="1C58AF36"/>
    <w:lvl w:ilvl="0" w:tplc="0206153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4E"/>
    <w:rsid w:val="00023DA8"/>
    <w:rsid w:val="000A124E"/>
    <w:rsid w:val="003047A3"/>
    <w:rsid w:val="00330DDA"/>
    <w:rsid w:val="006F2220"/>
    <w:rsid w:val="00C8539C"/>
    <w:rsid w:val="00E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E81E86"/>
  <w15:chartTrackingRefBased/>
  <w15:docId w15:val="{8DB5EBA3-44E4-46BC-89D3-2552866D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ous-titre">
    <w:name w:val="Subtitle"/>
    <w:basedOn w:val="Normal"/>
    <w:qFormat/>
    <w:pPr>
      <w:jc w:val="both"/>
    </w:pPr>
    <w:rPr>
      <w:rFonts w:ascii="Arial" w:hAnsi="Arial" w:cs="Arial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Clause Arbitrale</vt:lpstr>
    </vt:vector>
  </TitlesOfParts>
  <Company>Académie Ménard Girardin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Clause Arbitrale</dc:title>
  <dc:subject/>
  <dc:creator>Académie Ménard Girardin</dc:creator>
  <cp:keywords/>
  <dc:description/>
  <cp:lastModifiedBy>Vincent Robichaud</cp:lastModifiedBy>
  <cp:revision>2</cp:revision>
  <cp:lastPrinted>2003-07-03T19:31:00Z</cp:lastPrinted>
  <dcterms:created xsi:type="dcterms:W3CDTF">2021-02-19T16:45:00Z</dcterms:created>
  <dcterms:modified xsi:type="dcterms:W3CDTF">2021-02-19T16:45:00Z</dcterms:modified>
</cp:coreProperties>
</file>